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ECF" w:rsidRPr="00527B13" w:rsidRDefault="002A31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27B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Епидемиолошки подаци</w:t>
      </w:r>
    </w:p>
    <w:p w:rsidR="00365ECF" w:rsidRPr="00527B13" w:rsidRDefault="00365EC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365ECF" w:rsidRPr="00527B13" w:rsidRDefault="00DF6D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527B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Рак грлића материце </w:t>
      </w:r>
      <w:r w:rsidR="00A20484" w:rsidRPr="00527B1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је препознат као озбиљан </w:t>
      </w:r>
      <w:r w:rsidR="002A31A0" w:rsidRPr="00527B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јавноздравствени </w:t>
      </w:r>
      <w:r w:rsidR="00A20484" w:rsidRPr="00527B1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изазов </w:t>
      </w:r>
      <w:r w:rsidR="002A31A0" w:rsidRPr="00527B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Србији. </w:t>
      </w:r>
      <w:r w:rsidR="00A20484" w:rsidRPr="00527B1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Министарство здравља је зато крајем 2012. године увело организовани скрининг рака грлића материце. </w:t>
      </w:r>
    </w:p>
    <w:p w:rsidR="00365ECF" w:rsidRPr="00527B13" w:rsidRDefault="002A31A0">
      <w:pPr>
        <w:pStyle w:val="NormalWeb"/>
        <w:spacing w:before="280" w:line="360" w:lineRule="auto"/>
        <w:ind w:left="-23" w:right="-23"/>
        <w:jc w:val="both"/>
      </w:pPr>
      <w:r w:rsidRPr="00527B13">
        <w:rPr>
          <w:shd w:val="clear" w:color="auto" w:fill="FFFFFF"/>
        </w:rPr>
        <w:t xml:space="preserve">Према подацима Регистра за рак Института за јавно здравље Србије „Др Милан Јовановић Батут”, у </w:t>
      </w:r>
      <w:r w:rsidRPr="00527B13">
        <w:t xml:space="preserve">просеку се у Србији сваке године региструје </w:t>
      </w:r>
      <w:r w:rsidR="00E73AF4" w:rsidRPr="00527B13">
        <w:t>више од 1</w:t>
      </w:r>
      <w:r w:rsidRPr="00527B13">
        <w:t>214 новооболелих жена од карцинома грлића материце. Просечна стандардизована стопа инциденције од цервикалног карцинома износи 21,4 на 100.000 жена.</w:t>
      </w:r>
      <w:r w:rsidR="00E73AF4" w:rsidRPr="00527B13">
        <w:t xml:space="preserve"> </w:t>
      </w:r>
      <w:r w:rsidRPr="00527B13">
        <w:t>Од карцинома грлића материце сваке године умре 470 жена и просечна стандардизована стопа морталитета износи 6,9 на 100.000 жена свих узраста.</w:t>
      </w:r>
      <w:r w:rsidR="00E73AF4" w:rsidRPr="00527B13">
        <w:t xml:space="preserve"> </w:t>
      </w:r>
      <w:r w:rsidRPr="00527B13">
        <w:t>Карцином грлића се чешће јавља у узрасту од 35. године, али највише узрасноспецифичне стопе оболевања су у узрасту од 50 до 59. године. У случају умирања регистроване стопе морталитета пропорционално расту почев од 45. године и највише су у најстаријем узрасту, 75 и више година.</w:t>
      </w:r>
    </w:p>
    <w:p w:rsidR="00365ECF" w:rsidRPr="00527B13" w:rsidRDefault="00A204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7B1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Т</w:t>
      </w:r>
      <w:r w:rsidR="002A31A0" w:rsidRPr="00527B13">
        <w:rPr>
          <w:rFonts w:ascii="Times New Roman" w:hAnsi="Times New Roman" w:cs="Times New Roman"/>
          <w:sz w:val="24"/>
          <w:szCs w:val="24"/>
          <w:shd w:val="clear" w:color="auto" w:fill="FFFFFF"/>
        </w:rPr>
        <w:t>оком</w:t>
      </w:r>
      <w:r w:rsidR="00E73AF4" w:rsidRPr="00527B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2016. године регистровано је 1</w:t>
      </w:r>
      <w:r w:rsidR="002A31A0" w:rsidRPr="00527B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239 новооболелих жена од рака грлића материце и стандардизована стопа инциденције је износила 21,9 на 100.000 жена. Током исте године, 453 жене су у Србији умрле од ове врсте рака и стандардизована стопа морталитета је износила 6,7 на 100.000 жена. </w:t>
      </w:r>
    </w:p>
    <w:p w:rsidR="00365ECF" w:rsidRPr="00527B13" w:rsidRDefault="002A3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7B13">
        <w:rPr>
          <w:rFonts w:ascii="Times New Roman" w:hAnsi="Times New Roman" w:cs="Times New Roman"/>
          <w:sz w:val="24"/>
          <w:szCs w:val="24"/>
          <w:shd w:val="clear" w:color="auto" w:fill="FFFFFF"/>
        </w:rPr>
        <w:t>Када говоримо о оболевању, највише  стандардизоване  стопе  инциденције  од  рака  грлића материце у 2016. години,  у  односу  на  просечну  стопу инциденције од ове малигне локализације у Републици Србији, регистроване су у Нишавској, Средњебанатској, Зајечарској и Пиротској области, а најниже у Подунавској, Јабланичкој, Јужнобанатској и Браничевској области (табела 1).</w:t>
      </w:r>
    </w:p>
    <w:p w:rsidR="00365ECF" w:rsidRPr="00527B13" w:rsidRDefault="00365ECF">
      <w:pPr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365ECF" w:rsidRPr="00527B13" w:rsidRDefault="00365EC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365ECF" w:rsidRPr="00527B13" w:rsidRDefault="00365EC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365ECF" w:rsidRPr="00527B13" w:rsidRDefault="00365EC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365ECF" w:rsidRPr="00527B13" w:rsidRDefault="00365EC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365ECF" w:rsidRPr="00527B13" w:rsidRDefault="002A31A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7B1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lastRenderedPageBreak/>
        <w:t xml:space="preserve">Графикон </w:t>
      </w:r>
      <w:r w:rsidRPr="00527B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Pr="00527B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Стандардизоване стопе инциденције рака грлића материце, по окрузима у Републици Србији, 2016. година</w:t>
      </w:r>
    </w:p>
    <w:p w:rsidR="00365ECF" w:rsidRPr="00527B13" w:rsidRDefault="002A31A0">
      <w:pPr>
        <w:spacing w:line="360" w:lineRule="auto"/>
        <w:jc w:val="both"/>
      </w:pPr>
      <w:r w:rsidRPr="00527B13">
        <w:rPr>
          <w:noProof/>
          <w:lang w:eastAsia="en-GB"/>
        </w:rPr>
        <w:drawing>
          <wp:inline distT="0" distB="0" distL="0" distR="0" wp14:anchorId="16CA8554" wp14:editId="7269A0E8">
            <wp:extent cx="6485255" cy="747458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65ECF" w:rsidRPr="00527B13" w:rsidRDefault="00365ECF">
      <w:pPr>
        <w:spacing w:line="360" w:lineRule="auto"/>
        <w:jc w:val="both"/>
        <w:rPr>
          <w:color w:val="FF0000"/>
        </w:rPr>
      </w:pPr>
    </w:p>
    <w:p w:rsidR="00365ECF" w:rsidRPr="00527B13" w:rsidRDefault="00365EC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365ECF" w:rsidRPr="00527B13" w:rsidRDefault="002A3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7B1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У случају </w:t>
      </w:r>
      <w:r w:rsidR="00A20484" w:rsidRPr="00527B1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леталних исхода,</w:t>
      </w:r>
      <w:r w:rsidRPr="00527B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више стандардизоване стопе морталитета од просечне у Републици Србији су регистроване у Подунавској, Топличкој, Севернобанатској и Зајечарској области, а најниже у Моравичкој, Колубарској, Шумадијској и Борској области (табела 2).</w:t>
      </w:r>
    </w:p>
    <w:p w:rsidR="00365ECF" w:rsidRPr="00527B13" w:rsidRDefault="002A31A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7B1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Графикон</w:t>
      </w:r>
      <w:r w:rsidRPr="00527B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2.</w:t>
      </w:r>
      <w:r w:rsidRPr="00527B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Стандардизоване стопе морталитета рака грлића материце, по окрузима у Републици Србији, 2016. година</w:t>
      </w:r>
    </w:p>
    <w:p w:rsidR="00365ECF" w:rsidRPr="00527B13" w:rsidRDefault="002A31A0">
      <w:pPr>
        <w:jc w:val="both"/>
      </w:pPr>
      <w:r w:rsidRPr="00527B13">
        <w:rPr>
          <w:noProof/>
          <w:lang w:eastAsia="en-GB"/>
        </w:rPr>
        <w:drawing>
          <wp:inline distT="0" distB="0" distL="0" distR="0" wp14:anchorId="594EE9BA" wp14:editId="436971BE">
            <wp:extent cx="5507355" cy="6677025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65ECF" w:rsidRPr="00527B13" w:rsidRDefault="00365ECF">
      <w:pPr>
        <w:spacing w:line="360" w:lineRule="auto"/>
        <w:jc w:val="both"/>
        <w:rPr>
          <w:color w:val="FF0000"/>
        </w:rPr>
      </w:pPr>
    </w:p>
    <w:p w:rsidR="00365ECF" w:rsidRPr="00527B13" w:rsidRDefault="002A3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7B1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На основу регистрованих стопа оболевања и умирања, као и на основу  најновијих процена Међународне агенције за истраживање рака (IARC)  за 2018. годину, Србија се и даље налази у групи земаља са </w:t>
      </w:r>
      <w:r w:rsidR="00B66A80" w:rsidRPr="00527B1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високим</w:t>
      </w:r>
      <w:r w:rsidRPr="00527B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стопама оболевања и умирања у Европи. </w:t>
      </w:r>
    </w:p>
    <w:p w:rsidR="00365ECF" w:rsidRDefault="002A3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7B13">
        <w:rPr>
          <w:rFonts w:ascii="Times New Roman" w:hAnsi="Times New Roman" w:cs="Times New Roman"/>
          <w:sz w:val="24"/>
          <w:szCs w:val="24"/>
          <w:shd w:val="clear" w:color="auto" w:fill="FFFFFF"/>
        </w:rPr>
        <w:t>Када је реч о оболевању од рака грлића материце, Србија се, после Летоније, Босне и Херцеговине, Естоније и Молдавије налази на петом месту у Европи. Такође, наша земља се  и по умирању од ове врсте рака код жена налази на петом месту у Европи, после Румуније, Молдавије, Бугарске и Литваније.</w:t>
      </w:r>
    </w:p>
    <w:p w:rsidR="00365ECF" w:rsidRDefault="00365ECF">
      <w:pPr>
        <w:spacing w:line="360" w:lineRule="auto"/>
        <w:jc w:val="both"/>
      </w:pPr>
      <w:bookmarkStart w:id="0" w:name="_GoBack"/>
      <w:bookmarkEnd w:id="0"/>
    </w:p>
    <w:sectPr w:rsidR="00365ECF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365ECF"/>
    <w:rsid w:val="002A31A0"/>
    <w:rsid w:val="00330F0E"/>
    <w:rsid w:val="00365ECF"/>
    <w:rsid w:val="00527B13"/>
    <w:rsid w:val="00A20484"/>
    <w:rsid w:val="00B66A80"/>
    <w:rsid w:val="00DF6D85"/>
    <w:rsid w:val="00E7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D8E"/>
    <w:rPr>
      <w:rFonts w:ascii="Tahoma" w:hAnsi="Tahoma" w:cs="Tahoma"/>
      <w:color w:val="00000A"/>
      <w:sz w:val="16"/>
      <w:szCs w:val="16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D8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124D5"/>
    <w:pPr>
      <w:spacing w:after="280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roundedCorners val="1"/>
  <c:style val="2"/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label 0</c:f>
              <c:strCache>
                <c:ptCount val="1"/>
              </c:strCache>
            </c:strRef>
          </c:tx>
          <c:spPr>
            <a:solidFill>
              <a:srgbClr val="FF0000"/>
            </a:solidFill>
            <a:ln>
              <a:noFill/>
            </a:ln>
          </c:spPr>
          <c:invertIfNegative val="1"/>
          <c:cat>
            <c:strRef>
              <c:f>categories</c:f>
              <c:strCache>
                <c:ptCount val="25"/>
                <c:pt idx="0">
                  <c:v>Нишавска област                                          </c:v>
                </c:pt>
                <c:pt idx="1">
                  <c:v>Средњебанатска област                                 </c:v>
                </c:pt>
                <c:pt idx="2">
                  <c:v>Зајечарска област                               </c:v>
                </c:pt>
                <c:pt idx="3">
                  <c:v>Пиротска област                                        </c:v>
                </c:pt>
                <c:pt idx="4">
                  <c:v>Топличка област                                  </c:v>
                </c:pt>
                <c:pt idx="5">
                  <c:v>Пчињска област                                       </c:v>
                </c:pt>
                <c:pt idx="6">
                  <c:v>Западнобачка област                                     </c:v>
                </c:pt>
                <c:pt idx="7">
                  <c:v>Борска област                                                    </c:v>
                </c:pt>
                <c:pt idx="8">
                  <c:v>Колубарска област                                  </c:v>
                </c:pt>
                <c:pt idx="9">
                  <c:v>Моравичка област                                    </c:v>
                </c:pt>
                <c:pt idx="10">
                  <c:v>Сремска област                                       </c:v>
                </c:pt>
                <c:pt idx="11">
                  <c:v>Севернобанатска област                                 </c:v>
                </c:pt>
                <c:pt idx="12">
                  <c:v>Мачванска област                                         </c:v>
                </c:pt>
                <c:pt idx="13">
                  <c:v>Београд     </c:v>
                </c:pt>
                <c:pt idx="14">
                  <c:v>Расинска област                                                       </c:v>
                </c:pt>
                <c:pt idx="15">
                  <c:v>Рашка област                                                    </c:v>
                </c:pt>
                <c:pt idx="16">
                  <c:v>Поморавска област                                     </c:v>
                </c:pt>
                <c:pt idx="17">
                  <c:v>Шумадијска област                            </c:v>
                </c:pt>
                <c:pt idx="18">
                  <c:v>Јужнобачка област                                </c:v>
                </c:pt>
                <c:pt idx="19">
                  <c:v>Севернобачка област                                          </c:v>
                </c:pt>
                <c:pt idx="20">
                  <c:v>Златиборска област                                            </c:v>
                </c:pt>
                <c:pt idx="21">
                  <c:v>Подунавска област                                   </c:v>
                </c:pt>
                <c:pt idx="22">
                  <c:v>Јабланичка област                              </c:v>
                </c:pt>
                <c:pt idx="23">
                  <c:v>Јужнобанатска област                                     </c:v>
                </c:pt>
                <c:pt idx="24">
                  <c:v>Браничевска област                            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5"/>
                <c:pt idx="0">
                  <c:v>36.706593521950801</c:v>
                </c:pt>
                <c:pt idx="1">
                  <c:v>35.289249501816599</c:v>
                </c:pt>
                <c:pt idx="2">
                  <c:v>33.6448259778766</c:v>
                </c:pt>
                <c:pt idx="3">
                  <c:v>29.909806640154599</c:v>
                </c:pt>
                <c:pt idx="4">
                  <c:v>27.539466438432601</c:v>
                </c:pt>
                <c:pt idx="5">
                  <c:v>26.497375033835201</c:v>
                </c:pt>
                <c:pt idx="6">
                  <c:v>25.771932553738299</c:v>
                </c:pt>
                <c:pt idx="7">
                  <c:v>25.355528961295398</c:v>
                </c:pt>
                <c:pt idx="8">
                  <c:v>25.180862175013299</c:v>
                </c:pt>
                <c:pt idx="9">
                  <c:v>24.423064330069</c:v>
                </c:pt>
                <c:pt idx="10">
                  <c:v>22.926798990420401</c:v>
                </c:pt>
                <c:pt idx="11">
                  <c:v>22.6397501442707</c:v>
                </c:pt>
                <c:pt idx="12">
                  <c:v>21.991434396303301</c:v>
                </c:pt>
                <c:pt idx="13">
                  <c:v>21.178185225999101</c:v>
                </c:pt>
                <c:pt idx="14">
                  <c:v>20.217807409714499</c:v>
                </c:pt>
                <c:pt idx="15">
                  <c:v>19.957232001088101</c:v>
                </c:pt>
                <c:pt idx="16">
                  <c:v>19.319706360361199</c:v>
                </c:pt>
                <c:pt idx="17">
                  <c:v>19.107067247358898</c:v>
                </c:pt>
                <c:pt idx="18">
                  <c:v>18.263847145147999</c:v>
                </c:pt>
                <c:pt idx="19">
                  <c:v>17.6624435891339</c:v>
                </c:pt>
                <c:pt idx="20">
                  <c:v>17.5435083095539</c:v>
                </c:pt>
                <c:pt idx="21">
                  <c:v>16.630982986696299</c:v>
                </c:pt>
                <c:pt idx="22">
                  <c:v>16.5905683063331</c:v>
                </c:pt>
                <c:pt idx="23">
                  <c:v>16.216144221327699</c:v>
                </c:pt>
                <c:pt idx="24">
                  <c:v>13.834967449628699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</c14:spPr>
              </c14:invertSolidFillFmt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606208"/>
        <c:axId val="110607744"/>
      </c:barChart>
      <c:catAx>
        <c:axId val="110606208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crossAx val="110607744"/>
        <c:crossesAt val="0"/>
        <c:auto val="1"/>
        <c:lblAlgn val="ctr"/>
        <c:lblOffset val="100"/>
        <c:noMultiLvlLbl val="1"/>
      </c:catAx>
      <c:valAx>
        <c:axId val="1106077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crossAx val="110606208"/>
        <c:crossesAt val="0"/>
        <c:crossBetween val="between"/>
      </c:valAx>
      <c:spPr>
        <a:solidFill>
          <a:srgbClr val="FFFFFF"/>
        </a:solidFill>
        <a:ln>
          <a:noFill/>
        </a:ln>
      </c:spPr>
    </c:plotArea>
    <c:plotVisOnly val="1"/>
    <c:dispBlanksAs val="zero"/>
    <c:showDLblsOverMax val="1"/>
  </c:chart>
  <c:spPr>
    <a:noFill/>
    <a:ln>
      <a:noFill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roundedCorners val="1"/>
  <c:style val="2"/>
  <c:chart>
    <c:autoTitleDeleted val="1"/>
    <c:plotArea>
      <c:layout/>
      <c:barChart>
        <c:barDir val="bar"/>
        <c:grouping val="clustered"/>
        <c:varyColors val="1"/>
        <c:ser>
          <c:idx val="0"/>
          <c:order val="0"/>
          <c:tx>
            <c:strRef>
              <c:f>label 0</c:f>
              <c:strCache>
                <c:ptCount val="1"/>
              </c:strCache>
            </c:strRef>
          </c:tx>
          <c:spPr>
            <a:solidFill>
              <a:srgbClr val="00B050"/>
            </a:solidFill>
            <a:ln>
              <a:noFill/>
            </a:ln>
          </c:spPr>
          <c:invertIfNegative val="1"/>
          <c:cat>
            <c:strRef>
              <c:f>categories</c:f>
              <c:strCache>
                <c:ptCount val="25"/>
                <c:pt idx="0">
                  <c:v>Зајечарска област </c:v>
                </c:pt>
                <c:pt idx="1">
                  <c:v>Севернобанатска област</c:v>
                </c:pt>
                <c:pt idx="2">
                  <c:v>Топличка област </c:v>
                </c:pt>
                <c:pt idx="3">
                  <c:v>Подунавска област </c:v>
                </c:pt>
                <c:pt idx="4">
                  <c:v>Средњебанатска област</c:v>
                </c:pt>
                <c:pt idx="5">
                  <c:v>Поморавска област </c:v>
                </c:pt>
                <c:pt idx="6">
                  <c:v>Нишавска област </c:v>
                </c:pt>
                <c:pt idx="7">
                  <c:v>Мачванска област </c:v>
                </c:pt>
                <c:pt idx="8">
                  <c:v>Јабланичка област </c:v>
                </c:pt>
                <c:pt idx="9">
                  <c:v>Рашка област </c:v>
                </c:pt>
                <c:pt idx="10">
                  <c:v>Јужнобанатска област</c:v>
                </c:pt>
                <c:pt idx="11">
                  <c:v>Севернобачка област</c:v>
                </c:pt>
                <c:pt idx="12">
                  <c:v>Западнобачка област</c:v>
                </c:pt>
                <c:pt idx="13">
                  <c:v>Златиборска област </c:v>
                </c:pt>
                <c:pt idx="14">
                  <c:v>Пиротска област </c:v>
                </c:pt>
                <c:pt idx="15">
                  <c:v>Јужнобачка област</c:v>
                </c:pt>
                <c:pt idx="16">
                  <c:v>Расинска област </c:v>
                </c:pt>
                <c:pt idx="17">
                  <c:v>Браничевска област </c:v>
                </c:pt>
                <c:pt idx="18">
                  <c:v>Сремска област</c:v>
                </c:pt>
                <c:pt idx="19">
                  <c:v>Пчињска област </c:v>
                </c:pt>
                <c:pt idx="20">
                  <c:v>Београд - регион/област/град</c:v>
                </c:pt>
                <c:pt idx="21">
                  <c:v>Моравичка област </c:v>
                </c:pt>
                <c:pt idx="22">
                  <c:v>Колубарска област </c:v>
                </c:pt>
                <c:pt idx="23">
                  <c:v>Шумадијска област </c:v>
                </c:pt>
                <c:pt idx="24">
                  <c:v>Борска област 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5"/>
                <c:pt idx="0">
                  <c:v>11.1842058796929</c:v>
                </c:pt>
                <c:pt idx="1">
                  <c:v>10.7</c:v>
                </c:pt>
                <c:pt idx="2">
                  <c:v>10.4780140426522</c:v>
                </c:pt>
                <c:pt idx="3">
                  <c:v>9.1778884233603293</c:v>
                </c:pt>
                <c:pt idx="4">
                  <c:v>8.6151139758003801</c:v>
                </c:pt>
                <c:pt idx="5">
                  <c:v>8.2582211598161699</c:v>
                </c:pt>
                <c:pt idx="6">
                  <c:v>8.2435311983951802</c:v>
                </c:pt>
                <c:pt idx="7">
                  <c:v>8.1202497989505407</c:v>
                </c:pt>
                <c:pt idx="8">
                  <c:v>8.1138702416337303</c:v>
                </c:pt>
                <c:pt idx="9">
                  <c:v>7.8560531728879104</c:v>
                </c:pt>
                <c:pt idx="10">
                  <c:v>7.5</c:v>
                </c:pt>
                <c:pt idx="11">
                  <c:v>7.4</c:v>
                </c:pt>
                <c:pt idx="12">
                  <c:v>7.3</c:v>
                </c:pt>
                <c:pt idx="13">
                  <c:v>7.1537329806697496</c:v>
                </c:pt>
                <c:pt idx="14">
                  <c:v>7.1537224937108101</c:v>
                </c:pt>
                <c:pt idx="15">
                  <c:v>6.4</c:v>
                </c:pt>
                <c:pt idx="16">
                  <c:v>6.1524831725285196</c:v>
                </c:pt>
                <c:pt idx="17">
                  <c:v>6.0897604701705399</c:v>
                </c:pt>
                <c:pt idx="18">
                  <c:v>6.0341506461637104</c:v>
                </c:pt>
                <c:pt idx="19">
                  <c:v>5.8089583929932997</c:v>
                </c:pt>
                <c:pt idx="20">
                  <c:v>5.8</c:v>
                </c:pt>
                <c:pt idx="21">
                  <c:v>4.8085805396136303</c:v>
                </c:pt>
                <c:pt idx="22">
                  <c:v>4.4435808053278798</c:v>
                </c:pt>
                <c:pt idx="23">
                  <c:v>4.0003641102663297</c:v>
                </c:pt>
                <c:pt idx="24">
                  <c:v>3.1646961477834101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</c14:spPr>
              </c14:invertSolidFillFmt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623744"/>
        <c:axId val="87835008"/>
      </c:barChart>
      <c:catAx>
        <c:axId val="11062374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crossAx val="87835008"/>
        <c:crossesAt val="0"/>
        <c:auto val="1"/>
        <c:lblAlgn val="ctr"/>
        <c:lblOffset val="100"/>
        <c:noMultiLvlLbl val="1"/>
      </c:catAx>
      <c:valAx>
        <c:axId val="878350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crossAx val="110623744"/>
        <c:crossesAt val="0"/>
        <c:crossBetween val="between"/>
      </c:valAx>
      <c:spPr>
        <a:solidFill>
          <a:srgbClr val="FFFFFF"/>
        </a:solidFill>
        <a:ln>
          <a:noFill/>
        </a:ln>
      </c:spPr>
    </c:plotArea>
    <c:plotVisOnly val="1"/>
    <c:dispBlanksAs val="zero"/>
    <c:showDLblsOverMax val="1"/>
  </c:chart>
  <c:spPr>
    <a:noFill/>
    <a:ln>
      <a:noFill/>
    </a:ln>
  </c:spPr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C6907-2024-4E75-A20A-5877230B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SZ. Zivkovic</dc:creator>
  <cp:lastModifiedBy>Tamara TG. Gruden</cp:lastModifiedBy>
  <cp:revision>16</cp:revision>
  <cp:lastPrinted>2019-01-09T09:30:00Z</cp:lastPrinted>
  <dcterms:created xsi:type="dcterms:W3CDTF">2019-01-14T07:44:00Z</dcterms:created>
  <dcterms:modified xsi:type="dcterms:W3CDTF">2020-01-03T12:58:00Z</dcterms:modified>
  <dc:language>en-US</dc:language>
</cp:coreProperties>
</file>